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EC" w:rsidRDefault="00947A50" w:rsidP="00F675EC">
      <w:pPr>
        <w:spacing w:line="240" w:lineRule="auto"/>
        <w:ind w:left="6237"/>
        <w:rPr>
          <w:rFonts w:ascii="Tahoma" w:eastAsia="Times New Roman" w:hAnsi="Tahoma" w:cs="Tahoma"/>
          <w:b/>
          <w:i/>
          <w:lang w:eastAsia="ru-RU"/>
        </w:rPr>
      </w:pPr>
      <w:r w:rsidRPr="00F675EC">
        <w:rPr>
          <w:rFonts w:ascii="Tahoma" w:eastAsia="Times New Roman" w:hAnsi="Tahoma" w:cs="Tahoma"/>
          <w:b/>
          <w:i/>
          <w:lang w:eastAsia="ru-RU"/>
        </w:rPr>
        <w:t xml:space="preserve">Приложение № 1 к извещению </w:t>
      </w:r>
    </w:p>
    <w:p w:rsidR="00F675EC" w:rsidRDefault="00F675EC" w:rsidP="00F675EC">
      <w:pPr>
        <w:spacing w:line="240" w:lineRule="auto"/>
        <w:ind w:left="6237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о закупке на </w:t>
      </w:r>
      <w:r w:rsidRPr="00C03F01">
        <w:rPr>
          <w:rFonts w:ascii="Tahoma" w:eastAsia="Times New Roman" w:hAnsi="Tahoma" w:cs="Tahoma"/>
          <w:b/>
          <w:i/>
          <w:lang w:eastAsia="ru-RU"/>
        </w:rPr>
        <w:t xml:space="preserve">поставку </w:t>
      </w:r>
      <w:r>
        <w:rPr>
          <w:rFonts w:ascii="Tahoma" w:eastAsia="Times New Roman" w:hAnsi="Tahoma" w:cs="Tahoma"/>
          <w:b/>
          <w:i/>
          <w:lang w:eastAsia="ru-RU"/>
        </w:rPr>
        <w:t>картриджей</w:t>
      </w:r>
      <w:r w:rsidRPr="00600247">
        <w:rPr>
          <w:rFonts w:ascii="Tahoma" w:eastAsia="Times New Roman" w:hAnsi="Tahoma" w:cs="Tahoma"/>
          <w:b/>
          <w:i/>
          <w:lang w:eastAsia="ru-RU"/>
        </w:rPr>
        <w:t xml:space="preserve"> </w:t>
      </w:r>
    </w:p>
    <w:p w:rsidR="00947A50" w:rsidRPr="00F675EC" w:rsidRDefault="00F675EC" w:rsidP="00F675EC">
      <w:pPr>
        <w:spacing w:line="240" w:lineRule="auto"/>
        <w:ind w:left="6237"/>
        <w:rPr>
          <w:rFonts w:ascii="Tahoma" w:eastAsia="Times New Roman" w:hAnsi="Tahoma" w:cs="Tahoma"/>
          <w:b/>
          <w:i/>
          <w:lang w:eastAsia="ru-RU"/>
        </w:rPr>
      </w:pPr>
      <w:r w:rsidRPr="00600247">
        <w:rPr>
          <w:rFonts w:ascii="Tahoma" w:eastAsia="Times New Roman" w:hAnsi="Tahoma" w:cs="Tahoma"/>
          <w:b/>
          <w:i/>
          <w:lang w:eastAsia="ru-RU"/>
        </w:rPr>
        <w:t>для офисной техники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B2716D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B2716D"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goncharav</w:t>
              </w:r>
              <w:r w:rsidR="00B2716D"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</w:rPr>
                <w:t>@</w:t>
              </w:r>
              <w:r w:rsidR="00B2716D"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kolagmk</w:t>
              </w:r>
              <w:r w:rsidR="00B2716D"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</w:rPr>
                <w:t>.</w:t>
              </w:r>
              <w:proofErr w:type="spellStart"/>
              <w:r w:rsidR="00B2716D"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2716D" w:rsidRPr="00B2716D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176FB" w:rsidRPr="00893E42" w:rsidRDefault="00B176FB" w:rsidP="00B1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176FB" w:rsidRPr="00B2716D" w:rsidRDefault="00B176FB" w:rsidP="00B1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9" w:history="1">
              <w:r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goncharav</w:t>
              </w:r>
              <w:r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</w:rPr>
                <w:t>@</w:t>
              </w:r>
              <w:r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kolagmk</w:t>
              </w:r>
              <w:r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</w:rPr>
                <w:t>.</w:t>
              </w:r>
              <w:proofErr w:type="spellStart"/>
              <w:r w:rsidRPr="00AA73F7">
                <w:rPr>
                  <w:rStyle w:val="aa"/>
                  <w:rFonts w:ascii="Tahoma" w:hAnsi="Tahoma" w:cs="Tahoma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914E1" w:rsidRPr="00A409A3" w:rsidRDefault="00B914E1" w:rsidP="00761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615EA" w:rsidRDefault="003114B4" w:rsidP="00BD3A3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 xml:space="preserve">в электронном виде </w:t>
            </w:r>
            <w:r w:rsidR="00F675EC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F675EC" w:rsidRPr="00806BE8">
              <w:rPr>
                <w:rFonts w:ascii="Tahoma" w:eastAsia="Times New Roman" w:hAnsi="Tahoma" w:cs="Tahoma"/>
                <w:i/>
                <w:lang w:eastAsia="ru-RU"/>
              </w:rPr>
              <w:t>поставк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>у</w:t>
            </w:r>
            <w:r w:rsidR="00F675EC" w:rsidRPr="00806BE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>картриджей</w:t>
            </w:r>
            <w:r w:rsidR="00F675EC" w:rsidRPr="00600247">
              <w:rPr>
                <w:rFonts w:ascii="Tahoma" w:eastAsia="Times New Roman" w:hAnsi="Tahoma" w:cs="Tahoma"/>
                <w:i/>
                <w:lang w:eastAsia="ru-RU"/>
              </w:rPr>
              <w:t xml:space="preserve"> для офисной техники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D32B27" w:rsidP="007615EA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 адресу: </w:t>
            </w:r>
            <w:r w:rsidR="007615EA"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г. Мончегорск, </w:t>
            </w:r>
            <w:r w:rsidR="007615EA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="007615EA"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7615EA">
              <w:rPr>
                <w:rFonts w:ascii="Tahoma" w:eastAsia="Times New Roman" w:hAnsi="Tahoma" w:cs="Tahoma"/>
                <w:i/>
                <w:lang w:eastAsia="ru-RU"/>
              </w:rPr>
              <w:t>45, корп.2.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7615EA" w:rsidP="00C67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Поставка до </w:t>
            </w:r>
            <w:r w:rsidR="00574A89">
              <w:rPr>
                <w:rFonts w:ascii="Tahoma" w:eastAsia="Times New Roman" w:hAnsi="Tahoma" w:cs="Tahoma"/>
                <w:i/>
                <w:lang w:eastAsia="ru-RU"/>
              </w:rPr>
              <w:t>30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C674F5">
              <w:rPr>
                <w:rFonts w:ascii="Tahoma" w:eastAsia="Times New Roman" w:hAnsi="Tahoma" w:cs="Tahoma"/>
                <w:i/>
                <w:lang w:eastAsia="ru-RU"/>
              </w:rPr>
              <w:t>09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.2022г. включительно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62222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62222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 w:rsidRPr="00F62222">
              <w:rPr>
                <w:rFonts w:ascii="Tahoma" w:eastAsia="Times New Roman" w:hAnsi="Tahoma" w:cs="Tahoma"/>
                <w:lang w:eastAsia="ru-RU"/>
              </w:rPr>
              <w:t xml:space="preserve"> без учета НДС</w:t>
            </w:r>
            <w:r w:rsidRPr="00F62222"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62222" w:rsidRDefault="00B176FB" w:rsidP="00B176F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272 650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F62222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Pr="00B176FB">
              <w:rPr>
                <w:rFonts w:ascii="Tahoma" w:eastAsia="Times New Roman" w:hAnsi="Tahoma" w:cs="Tahoma"/>
                <w:i/>
                <w:lang w:eastAsia="ru-RU"/>
              </w:rPr>
              <w:t>двести семьдесят две тысячи шестьсот пятьдесят</w:t>
            </w:r>
            <w:r w:rsidR="00BB31AE" w:rsidRPr="00F62222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F675EC">
              <w:rPr>
                <w:rFonts w:ascii="Tahoma" w:eastAsia="Times New Roman" w:hAnsi="Tahoma" w:cs="Tahoma"/>
                <w:i/>
                <w:lang w:eastAsia="ru-RU"/>
              </w:rPr>
              <w:t xml:space="preserve">руб. 00 коп. </w:t>
            </w:r>
            <w:r w:rsidR="00F62222" w:rsidRPr="00F62222">
              <w:rPr>
                <w:rFonts w:ascii="Tahoma" w:eastAsia="Times New Roman" w:hAnsi="Tahoma" w:cs="Tahoma"/>
                <w:i/>
                <w:lang w:eastAsia="ru-RU"/>
              </w:rPr>
              <w:t>без учета НДС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5EC" w:rsidRDefault="00F675EC" w:rsidP="00F6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EC3781">
              <w:rPr>
                <w:rFonts w:ascii="Tahoma" w:eastAsia="Times New Roman" w:hAnsi="Tahoma" w:cs="Tahoma"/>
                <w:i/>
                <w:lang w:eastAsia="ru-RU"/>
              </w:rPr>
              <w:t xml:space="preserve">Оплата цены товара осуществляется Покупателем в течение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Pr="00EC3781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семи</w:t>
            </w:r>
            <w:r w:rsidRPr="00EC3781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рабочих </w:t>
            </w:r>
            <w:r w:rsidRPr="00EC3781">
              <w:rPr>
                <w:rFonts w:ascii="Tahoma" w:eastAsia="Times New Roman" w:hAnsi="Tahoma" w:cs="Tahoma"/>
                <w:i/>
                <w:lang w:eastAsia="ru-RU"/>
              </w:rPr>
              <w:t>дней с даты подписания уполномоченными представителями Сторон товарной накладной или УПД</w:t>
            </w: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697950" w:rsidRDefault="00F675EC" w:rsidP="00F6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highlight w:val="red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 w:rsidRPr="00697950">
              <w:rPr>
                <w:rFonts w:ascii="Tahoma" w:eastAsia="Times New Roman" w:hAnsi="Tahoma" w:cs="Tahoma"/>
                <w:i/>
                <w:color w:val="FF0000"/>
                <w:highlight w:val="red"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оказ</w:t>
            </w:r>
            <w:r w:rsidR="00950B24">
              <w:rPr>
                <w:rFonts w:ascii="Tahoma" w:eastAsia="Times New Roman" w:hAnsi="Tahoma" w:cs="Tahoma"/>
                <w:lang w:eastAsia="ru-RU"/>
              </w:rPr>
              <w:t>ываемых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23B6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345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45517">
              <w:rPr>
                <w:rFonts w:ascii="Tahoma" w:eastAsia="Times New Roman" w:hAnsi="Tahoma" w:cs="Tahoma"/>
                <w:i/>
                <w:lang w:eastAsia="ru-RU"/>
              </w:rPr>
              <w:t>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E772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E7728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E772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353FFE" w:rsidRPr="00574A8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24</w:t>
            </w:r>
            <w:r w:rsidR="008A4CC7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345517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675E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6</w:t>
            </w:r>
            <w:r w:rsidR="00675602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345517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675E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FE7728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по</w:t>
            </w:r>
            <w:r w:rsidR="00B914E1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C674F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11</w:t>
            </w:r>
            <w:r w:rsidR="006F6AB7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345517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675E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B914E1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675E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2 </w:t>
            </w:r>
            <w:r w:rsidR="00F62222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FE772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FE7728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FE7728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FE7728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DD9" w:rsidRPr="006A7E73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577DD9" w:rsidRPr="006A7E73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577DD9" w:rsidRPr="006A7E73" w:rsidRDefault="00577DD9" w:rsidP="00577DD9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D824CE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E4664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E4664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E01714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</w:t>
            </w:r>
            <w:r w:rsidR="007C0DCF" w:rsidRPr="00E46645">
              <w:rPr>
                <w:rFonts w:ascii="Tahoma" w:eastAsia="Times New Roman" w:hAnsi="Tahoma" w:cs="Tahoma"/>
                <w:i/>
                <w:lang w:eastAsia="ru-RU"/>
              </w:rPr>
              <w:t>№</w:t>
            </w:r>
            <w:r w:rsidR="002E7453" w:rsidRPr="00E4664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E745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4664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>)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7A3C1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E7728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FE7728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 xml:space="preserve">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184511, 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FE7728" w:rsidP="00E91E82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E7728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E91E82">
              <w:rPr>
                <w:rFonts w:ascii="Tahoma" w:eastAsia="Times New Roman" w:hAnsi="Tahoma" w:cs="Tahoma"/>
                <w:i/>
                <w:lang w:eastAsia="ru-RU"/>
              </w:rPr>
              <w:t>11</w:t>
            </w:r>
            <w:r w:rsidRPr="00FE7728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9706CE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Pr="00FE7728">
              <w:rPr>
                <w:rFonts w:ascii="Tahoma" w:eastAsia="Times New Roman" w:hAnsi="Tahoma" w:cs="Tahoma"/>
                <w:i/>
                <w:lang w:eastAsia="ru-RU"/>
              </w:rPr>
              <w:t xml:space="preserve">.2022 по </w:t>
            </w:r>
            <w:r w:rsidR="009706C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91E82">
              <w:rPr>
                <w:rFonts w:ascii="Tahoma" w:eastAsia="Times New Roman" w:hAnsi="Tahoma" w:cs="Tahoma"/>
                <w:i/>
                <w:lang w:eastAsia="ru-RU"/>
              </w:rPr>
              <w:t>9</w:t>
            </w:r>
            <w:r w:rsidR="00E01714" w:rsidRPr="00FE772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345517" w:rsidRPr="00FE7728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9706CE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345517" w:rsidRPr="00FE772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F17EB" w:rsidRPr="00FE7728">
              <w:rPr>
                <w:rFonts w:ascii="Tahoma" w:eastAsia="Times New Roman" w:hAnsi="Tahoma" w:cs="Tahoma"/>
                <w:i/>
                <w:lang w:eastAsia="ru-RU"/>
              </w:rPr>
              <w:t>202</w:t>
            </w:r>
            <w:r w:rsidR="00345517" w:rsidRPr="00FE7728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01714" w:rsidRPr="00FE7728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AD75D3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AD75D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AD75D3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>
              <w:t xml:space="preserve"> 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0A075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0A075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</w:t>
            </w:r>
            <w:proofErr w:type="gramStart"/>
            <w:r w:rsidRPr="001F1561">
              <w:rPr>
                <w:rFonts w:ascii="Tahoma" w:eastAsia="Times New Roman" w:hAnsi="Tahoma" w:cs="Tahoma"/>
                <w:i/>
                <w:lang w:eastAsia="ru-RU"/>
              </w:rPr>
              <w:t>) .</w:t>
            </w:r>
            <w:proofErr w:type="gramEnd"/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Доверенность на заключение договора – в случае, если договор подписывается не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D50150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Обязательные требования к оформлению коммерческого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1205B">
              <w:rPr>
                <w:rFonts w:ascii="Tahoma" w:eastAsia="Times New Roman" w:hAnsi="Tahoma" w:cs="Tahoma"/>
                <w:i/>
                <w:lang w:eastAsia="ru-RU"/>
              </w:rPr>
              <w:t>. Заказчик не допускает к участию в закупочной процедуре заявки, поданные с опозданием, т.е. после окончания срока приема заявок (п. 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71205B">
              <w:rPr>
                <w:rFonts w:ascii="Tahoma" w:eastAsia="Times New Roman" w:hAnsi="Tahoma" w:cs="Tahoma"/>
                <w:i/>
                <w:lang w:eastAsia="ru-RU"/>
              </w:rPr>
              <w:t xml:space="preserve"> Информационной карты);</w:t>
            </w: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>3. Заказчик отклоняет предложение Участника, стоимость коммерческого предложения которого превышает начальную (максимальную) цену договора/лота.</w:t>
            </w: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FE7728" w:rsidRPr="0071205B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71205B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B2716D" w:rsidRPr="007A3C1C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205B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71205B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дата и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время проведение переторжки буду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 назначен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зависимости от количества участников и опубликован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 ЭТП rts-tender.ru.</w:t>
            </w:r>
          </w:p>
          <w:p w:rsidR="00B36EA1" w:rsidRPr="00ED78AB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604D74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случае если Участник не прислал 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32126D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E7728"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1B1AA8" w:rsidRPr="00FE7728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Pr="00FE7728"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606AC8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, чем 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371A21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32126D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B87024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 по форме, установленной Приложением №7 к информационной карте, дополнительно должны быть выполнены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нижеприведенные требования.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участника, в соответствии Приложением №10 к информационной карте.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информационной карте. 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дополнительно должна включать сведения о распределении номенклатуры, объемов, стоимости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 сроков осуществления поставки, выполнения работ, оказания услуг между членами коллективного Участника.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7A3C1C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675602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B7517" w:rsidRPr="00675602">
              <w:rPr>
                <w:rFonts w:ascii="Tahoma" w:eastAsia="Times New Roman" w:hAnsi="Tahoma" w:cs="Tahoma"/>
                <w:i/>
                <w:lang w:eastAsia="ru-RU"/>
              </w:rPr>
              <w:t>пр. Металлургов, 45, корп.2</w:t>
            </w:r>
          </w:p>
          <w:p w:rsidR="00641591" w:rsidRPr="007A3C1C" w:rsidRDefault="00FE7728" w:rsidP="00E91E82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400257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C674F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91E82">
              <w:rPr>
                <w:rFonts w:ascii="Tahoma" w:eastAsia="Times New Roman" w:hAnsi="Tahoma" w:cs="Tahoma"/>
                <w:i/>
                <w:lang w:eastAsia="ru-RU"/>
              </w:rPr>
              <w:t>9</w:t>
            </w:r>
            <w:r w:rsidRPr="00400257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641591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Pr="00400257">
              <w:rPr>
                <w:rFonts w:ascii="Tahoma" w:eastAsia="Times New Roman" w:hAnsi="Tahoma" w:cs="Tahoma"/>
                <w:i/>
                <w:lang w:eastAsia="ru-RU"/>
              </w:rPr>
              <w:t xml:space="preserve">.2022 г. по </w:t>
            </w:r>
            <w:r w:rsidR="00641591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91E82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69004C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345517" w:rsidRPr="00400257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641591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9F17EB" w:rsidRPr="00400257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345517" w:rsidRPr="00400257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009E2" w:rsidRPr="00400257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D824CE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E497A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</w:t>
            </w:r>
            <w:hyperlink r:id="rId10" w:history="1">
              <w:r w:rsidRPr="005108F8">
                <w:rPr>
                  <w:rFonts w:ascii="Tahoma" w:eastAsia="Times New Roman" w:hAnsi="Tahoma" w:cs="Tahoma"/>
                  <w:i/>
                  <w:lang w:eastAsia="ru-RU"/>
                </w:rPr>
                <w:t>www.zakupki.gov.ru</w:t>
              </w:r>
            </w:hyperlink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FE7728" w:rsidRPr="0071120D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 xml:space="preserve"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</w:t>
            </w:r>
            <w:r w:rsidRPr="0071120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признать Участника закупки уклонившимся от заключения договора и  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Красноярскому краю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BB536D" w:rsidRDefault="00FE7728" w:rsidP="00FE7728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1120D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24D31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Заказчик проводит </w:t>
            </w:r>
            <w:r w:rsidRPr="00424D31">
              <w:rPr>
                <w:rFonts w:ascii="Tahoma" w:eastAsia="Times New Roman" w:hAnsi="Tahoma" w:cs="Tahoma"/>
                <w:i/>
                <w:lang w:eastAsia="ru-RU"/>
              </w:rPr>
              <w:t>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41591" w:rsidRDefault="0064159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2E7453" w:rsidRPr="008F7776" w:rsidRDefault="002E7453" w:rsidP="00AA73F7">
      <w:pPr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lastRenderedPageBreak/>
        <w:t>Приложение №1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Default="00AA73F7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Default="00AA73F7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Default="00AA73F7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6638DB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п</w:t>
      </w:r>
      <w:r w:rsidR="00D455C9">
        <w:rPr>
          <w:rFonts w:ascii="Tahoma" w:hAnsi="Tahoma" w:cs="Tahoma"/>
          <w:b/>
          <w:sz w:val="22"/>
          <w:szCs w:val="22"/>
        </w:rPr>
        <w:t>исьм</w:t>
      </w:r>
      <w:r>
        <w:rPr>
          <w:rFonts w:ascii="Tahoma" w:hAnsi="Tahoma" w:cs="Tahoma"/>
          <w:b/>
          <w:sz w:val="22"/>
          <w:szCs w:val="22"/>
        </w:rPr>
        <w:t>а</w:t>
      </w:r>
      <w:r w:rsidR="00D455C9">
        <w:rPr>
          <w:rFonts w:ascii="Tahoma" w:hAnsi="Tahoma" w:cs="Tahoma"/>
          <w:b/>
          <w:sz w:val="22"/>
          <w:szCs w:val="22"/>
        </w:rPr>
        <w:t xml:space="preserve"> о с</w:t>
      </w:r>
      <w:r w:rsidR="00D455C9" w:rsidRPr="006638DB">
        <w:rPr>
          <w:rFonts w:ascii="Tahoma" w:hAnsi="Tahoma" w:cs="Tahoma"/>
          <w:b/>
          <w:sz w:val="22"/>
          <w:szCs w:val="22"/>
        </w:rPr>
        <w:t>о</w:t>
      </w:r>
      <w:r w:rsidR="00D455C9">
        <w:rPr>
          <w:rFonts w:ascii="Tahoma" w:hAnsi="Tahoma" w:cs="Tahoma"/>
          <w:b/>
          <w:sz w:val="22"/>
          <w:szCs w:val="22"/>
        </w:rPr>
        <w:t xml:space="preserve">ответствии требованиям, предусмотренными </w:t>
      </w:r>
      <w:proofErr w:type="spellStart"/>
      <w:r w:rsidR="00D455C9">
        <w:rPr>
          <w:rFonts w:ascii="Tahoma" w:hAnsi="Tahoma" w:cs="Tahoma"/>
          <w:b/>
          <w:sz w:val="22"/>
          <w:szCs w:val="22"/>
        </w:rPr>
        <w:t>п.п</w:t>
      </w:r>
      <w:proofErr w:type="spellEnd"/>
      <w:r w:rsidR="00D455C9">
        <w:rPr>
          <w:rFonts w:ascii="Tahoma" w:hAnsi="Tahoma" w:cs="Tahoma"/>
          <w:b/>
          <w:sz w:val="22"/>
          <w:szCs w:val="22"/>
        </w:rPr>
        <w:t xml:space="preserve">. </w:t>
      </w:r>
      <w:r w:rsidR="008261C3">
        <w:rPr>
          <w:rFonts w:ascii="Tahoma" w:hAnsi="Tahoma" w:cs="Tahoma"/>
          <w:b/>
          <w:sz w:val="22"/>
          <w:szCs w:val="22"/>
        </w:rPr>
        <w:t>3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4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8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9</w:t>
      </w:r>
      <w:r w:rsidR="00D455C9" w:rsidRPr="000628BF">
        <w:rPr>
          <w:rFonts w:ascii="Tahoma" w:hAnsi="Tahoma" w:cs="Tahoma"/>
        </w:rPr>
        <w:t xml:space="preserve"> </w:t>
      </w:r>
      <w:r w:rsidR="00D455C9">
        <w:rPr>
          <w:rFonts w:ascii="Tahoma" w:hAnsi="Tahoma" w:cs="Tahoma"/>
          <w:b/>
          <w:sz w:val="22"/>
          <w:szCs w:val="22"/>
        </w:rPr>
        <w:t>Приложения №</w:t>
      </w:r>
      <w:r w:rsidR="008261C3">
        <w:rPr>
          <w:rFonts w:ascii="Tahoma" w:hAnsi="Tahoma" w:cs="Tahoma"/>
          <w:b/>
          <w:sz w:val="22"/>
          <w:szCs w:val="22"/>
        </w:rPr>
        <w:t>2</w:t>
      </w:r>
      <w:r w:rsidR="00D455C9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3A1CD7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E53FCD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E53FCD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</w:t>
      </w:r>
      <w:r w:rsidRPr="000628BF">
        <w:rPr>
          <w:rFonts w:ascii="Tahoma" w:hAnsi="Tahoma" w:cs="Tahoma"/>
          <w:sz w:val="20"/>
          <w:szCs w:val="20"/>
        </w:rPr>
        <w:t>требованиям, предусмотренным</w:t>
      </w:r>
      <w:r>
        <w:rPr>
          <w:rFonts w:ascii="Tahoma" w:hAnsi="Tahoma" w:cs="Tahoma"/>
          <w:sz w:val="20"/>
          <w:szCs w:val="20"/>
        </w:rPr>
        <w:t>и</w:t>
      </w:r>
      <w:r w:rsidRPr="000628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628BF">
        <w:rPr>
          <w:rFonts w:ascii="Tahoma" w:hAnsi="Tahoma" w:cs="Tahoma"/>
          <w:sz w:val="20"/>
          <w:szCs w:val="20"/>
        </w:rPr>
        <w:t>п.</w:t>
      </w:r>
      <w:r>
        <w:rPr>
          <w:rFonts w:ascii="Tahoma" w:hAnsi="Tahoma" w:cs="Tahoma"/>
          <w:sz w:val="20"/>
          <w:szCs w:val="20"/>
        </w:rPr>
        <w:t>п</w:t>
      </w:r>
      <w:proofErr w:type="spellEnd"/>
      <w:r w:rsidRPr="00FD08D2">
        <w:rPr>
          <w:rFonts w:ascii="Tahoma" w:hAnsi="Tahoma" w:cs="Tahoma"/>
          <w:sz w:val="20"/>
          <w:szCs w:val="20"/>
        </w:rPr>
        <w:t xml:space="preserve">. </w:t>
      </w:r>
      <w:r w:rsidR="008261C3">
        <w:rPr>
          <w:rFonts w:ascii="Tahoma" w:hAnsi="Tahoma" w:cs="Tahoma"/>
          <w:sz w:val="20"/>
          <w:szCs w:val="20"/>
        </w:rPr>
        <w:t>3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4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8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9</w:t>
      </w:r>
      <w:r w:rsidRPr="000628BF">
        <w:rPr>
          <w:rFonts w:ascii="Tahoma" w:hAnsi="Tahoma" w:cs="Tahoma"/>
          <w:sz w:val="20"/>
          <w:szCs w:val="20"/>
        </w:rPr>
        <w:t xml:space="preserve"> Приложения №</w:t>
      </w:r>
      <w:r w:rsidR="00173321">
        <w:rPr>
          <w:rFonts w:ascii="Tahoma" w:hAnsi="Tahoma" w:cs="Tahoma"/>
          <w:sz w:val="20"/>
          <w:szCs w:val="20"/>
        </w:rPr>
        <w:t>2</w:t>
      </w:r>
      <w:r w:rsidRPr="000628BF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</w:t>
      </w:r>
      <w:r w:rsidRPr="00E53FCD">
        <w:rPr>
          <w:rFonts w:ascii="Tahoma" w:hAnsi="Tahoma" w:cs="Tahoma"/>
          <w:sz w:val="20"/>
          <w:szCs w:val="20"/>
        </w:rPr>
        <w:t>, а именно: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638DB">
        <w:rPr>
          <w:rFonts w:ascii="Tahoma" w:hAnsi="Tahoma" w:cs="Tahoma"/>
          <w:sz w:val="20"/>
          <w:szCs w:val="20"/>
        </w:rPr>
        <w:t xml:space="preserve">1) </w:t>
      </w:r>
      <w:r w:rsidRPr="009314CC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3079FC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sz w:val="20"/>
          <w:szCs w:val="20"/>
        </w:rPr>
        <w:t xml:space="preserve"> не </w:t>
      </w:r>
      <w:r w:rsidRPr="00C753CD">
        <w:rPr>
          <w:rFonts w:ascii="Tahoma" w:hAnsi="Tahoma" w:cs="Tahoma"/>
          <w:sz w:val="20"/>
          <w:szCs w:val="20"/>
        </w:rPr>
        <w:t>находится в процессе ликвидации (для юридического лица) и не признан</w:t>
      </w:r>
      <w:r>
        <w:rPr>
          <w:rFonts w:ascii="Tahoma" w:hAnsi="Tahoma" w:cs="Tahoma"/>
          <w:sz w:val="20"/>
          <w:szCs w:val="20"/>
        </w:rPr>
        <w:t>о</w:t>
      </w:r>
      <w:r w:rsidRPr="00C753CD">
        <w:rPr>
          <w:rFonts w:ascii="Tahoma" w:hAnsi="Tahoma" w:cs="Tahoma"/>
          <w:sz w:val="20"/>
          <w:szCs w:val="20"/>
        </w:rPr>
        <w:t xml:space="preserve"> по решению арбитражного с</w:t>
      </w:r>
      <w:r>
        <w:rPr>
          <w:rFonts w:ascii="Tahoma" w:hAnsi="Tahoma" w:cs="Tahoma"/>
          <w:sz w:val="20"/>
          <w:szCs w:val="20"/>
        </w:rPr>
        <w:t>уда несостоятельным (банкротом)</w:t>
      </w:r>
      <w:r w:rsidRPr="006638DB">
        <w:rPr>
          <w:rFonts w:ascii="Tahoma" w:hAnsi="Tahoma" w:cs="Tahoma"/>
          <w:sz w:val="20"/>
          <w:szCs w:val="20"/>
        </w:rPr>
        <w:t>;</w:t>
      </w:r>
    </w:p>
    <w:p w:rsidR="00D455C9" w:rsidRPr="00DF18E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 w:rsidRPr="00980662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980662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не явля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>тся организацией, на имущество которой наложен арест по решению суда, административного органа и (или) деятельность которой приостановлена</w:t>
      </w:r>
      <w:r w:rsidRPr="00DF18EE">
        <w:rPr>
          <w:rFonts w:ascii="Tahoma" w:hAnsi="Tahoma" w:cs="Tahoma"/>
          <w:sz w:val="20"/>
          <w:szCs w:val="20"/>
        </w:rPr>
        <w:t>;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Между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и заказчиком</w:t>
      </w:r>
      <w:r>
        <w:rPr>
          <w:rFonts w:ascii="Tahoma" w:hAnsi="Tahoma" w:cs="Tahoma"/>
          <w:sz w:val="20"/>
          <w:szCs w:val="20"/>
        </w:rPr>
        <w:t xml:space="preserve"> отсутствует</w:t>
      </w:r>
      <w:r w:rsidRPr="006638DB">
        <w:rPr>
          <w:rFonts w:ascii="Tahoma" w:hAnsi="Tahoma" w:cs="Tahoma"/>
          <w:sz w:val="20"/>
          <w:szCs w:val="20"/>
        </w:rPr>
        <w:t xml:space="preserve">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>
        <w:rPr>
          <w:rFonts w:ascii="Tahoma" w:hAnsi="Tahoma" w:cs="Tahoma"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4) 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на дату подачи заявки</w:t>
      </w:r>
      <w:r w:rsidRPr="00A44E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</w:t>
      </w:r>
      <w:r w:rsidRPr="009314CC">
        <w:rPr>
          <w:rFonts w:ascii="Tahoma" w:hAnsi="Tahoma" w:cs="Tahoma"/>
          <w:sz w:val="20"/>
          <w:szCs w:val="20"/>
        </w:rPr>
        <w:t>тсутств</w:t>
      </w:r>
      <w:r>
        <w:rPr>
          <w:rFonts w:ascii="Tahoma" w:hAnsi="Tahoma" w:cs="Tahoma"/>
          <w:sz w:val="20"/>
          <w:szCs w:val="20"/>
        </w:rPr>
        <w:t>уют</w:t>
      </w:r>
      <w:r w:rsidRPr="009314CC">
        <w:rPr>
          <w:rFonts w:ascii="Tahoma" w:hAnsi="Tahoma" w:cs="Tahoma"/>
          <w:sz w:val="20"/>
          <w:szCs w:val="20"/>
        </w:rPr>
        <w:t xml:space="preserve"> действующи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 xml:space="preserve"> решени</w:t>
      </w:r>
      <w:r>
        <w:rPr>
          <w:rFonts w:ascii="Tahoma" w:hAnsi="Tahoma" w:cs="Tahoma"/>
          <w:sz w:val="20"/>
          <w:szCs w:val="20"/>
        </w:rPr>
        <w:t>я</w:t>
      </w:r>
      <w:r w:rsidRPr="009314CC">
        <w:rPr>
          <w:rFonts w:ascii="Tahoma" w:hAnsi="Tahoma" w:cs="Tahoma"/>
          <w:sz w:val="20"/>
          <w:szCs w:val="20"/>
        </w:rPr>
        <w:t xml:space="preserve"> о приостановлении операций по счетам Участника, принятых в соответствии с законодательством РФ о налогах и сборах</w:t>
      </w:r>
      <w:r>
        <w:rPr>
          <w:rFonts w:ascii="Tahoma" w:hAnsi="Tahoma" w:cs="Tahoma"/>
          <w:sz w:val="20"/>
          <w:szCs w:val="20"/>
        </w:rPr>
        <w:t>.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774D34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</w:t>
      </w:r>
      <w:proofErr w:type="gramStart"/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</w:t>
      </w:r>
      <w:proofErr w:type="gramEnd"/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подпись)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7C0DCF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0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0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93F7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DC39E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424D31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DC39E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7FA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1" w:name="_Ref405791537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1"/>
        <w:tc>
          <w:tcPr>
            <w:tcW w:w="5670" w:type="dxa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 к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2" w:name="_Ref405791839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2"/>
        <w:tc>
          <w:tcPr>
            <w:tcW w:w="5670" w:type="dxa"/>
          </w:tcPr>
          <w:p w:rsidR="006F6F53" w:rsidRPr="006F6F53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3D0BE9">
        <w:trPr>
          <w:trHeight w:val="1552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2235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3"/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6F6F53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столбце «Требования» пункта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14 информационной карты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615B32" w:rsidRDefault="00AD3464" w:rsidP="006F6F53">
      <w:pPr>
        <w:sectPr w:rsidR="00615B32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>
        <w:br w:type="page"/>
      </w:r>
    </w:p>
    <w:p w:rsidR="00840A00" w:rsidRPr="008F7776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8F7776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4970DC">
        <w:rPr>
          <w:rFonts w:ascii="Tahoma" w:eastAsia="Times New Roman" w:hAnsi="Tahoma" w:cs="Tahoma"/>
          <w:b/>
          <w:lang w:eastAsia="ru-RU"/>
        </w:rPr>
        <w:t>котировок</w:t>
      </w:r>
      <w:r w:rsidR="004970DC">
        <w:rPr>
          <w:rFonts w:ascii="Tahoma" w:eastAsia="Times New Roman" w:hAnsi="Tahoma" w:cs="Tahoma"/>
          <w:b/>
          <w:lang w:eastAsia="ru-RU"/>
        </w:rPr>
        <w:t>.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6B4E3A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FA493F">
        <w:rPr>
          <w:rFonts w:ascii="Tahoma" w:eastAsia="Times New Roman" w:hAnsi="Tahoma" w:cs="Tahoma"/>
          <w:lang w:eastAsia="ru-RU"/>
        </w:rPr>
        <w:t>котировок/цен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4970DC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70D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345517" w:rsidP="0034551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</w:t>
            </w:r>
            <w:r w:rsidRPr="0034551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оставка </w:t>
            </w:r>
            <w:r w:rsidR="006C2854" w:rsidRPr="006C285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картриджей для офисной техники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C2854" w:rsidRDefault="006C2854">
      <w:pPr>
        <w:rPr>
          <w:rFonts w:ascii="Tahoma" w:eastAsia="Times New Roman" w:hAnsi="Tahoma" w:cs="Tahoma"/>
          <w:i/>
          <w:lang w:eastAsia="ru-RU"/>
        </w:rPr>
      </w:pPr>
      <w:r>
        <w:rPr>
          <w:rFonts w:ascii="Tahoma" w:eastAsia="Times New Roman" w:hAnsi="Tahoma" w:cs="Tahoma"/>
          <w:i/>
          <w:lang w:eastAsia="ru-RU"/>
        </w:rPr>
        <w:br w:type="page"/>
      </w:r>
    </w:p>
    <w:p w:rsidR="00AA73F7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A00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B163FA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190E16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B163FA" w:rsidRDefault="00AA73F7" w:rsidP="005D2AC9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hAnsi="Tahoma" w:cs="Tahoma"/>
          <w:b/>
        </w:rPr>
        <w:t>«П</w:t>
      </w:r>
      <w:r w:rsidR="00345517" w:rsidRPr="00FE47ED">
        <w:rPr>
          <w:rFonts w:ascii="Tahoma" w:hAnsi="Tahoma" w:cs="Tahoma"/>
          <w:b/>
        </w:rPr>
        <w:t xml:space="preserve">оставка </w:t>
      </w:r>
      <w:r w:rsidR="006C2854">
        <w:rPr>
          <w:rFonts w:ascii="Tahoma" w:hAnsi="Tahoma" w:cs="Tahoma"/>
          <w:b/>
        </w:rPr>
        <w:t>картриджей</w:t>
      </w:r>
      <w:r w:rsidR="006C2854" w:rsidRPr="001F7148">
        <w:rPr>
          <w:rFonts w:ascii="Tahoma" w:hAnsi="Tahoma" w:cs="Tahoma"/>
          <w:b/>
        </w:rPr>
        <w:t xml:space="preserve"> для офисной </w:t>
      </w:r>
      <w:proofErr w:type="gramStart"/>
      <w:r w:rsidR="006C2854" w:rsidRPr="001F7148">
        <w:rPr>
          <w:rFonts w:ascii="Tahoma" w:hAnsi="Tahoma" w:cs="Tahoma"/>
          <w:b/>
        </w:rPr>
        <w:t>техники</w:t>
      </w:r>
      <w:r>
        <w:rPr>
          <w:rFonts w:ascii="Tahoma" w:hAnsi="Tahoma" w:cs="Tahoma"/>
          <w:b/>
        </w:rPr>
        <w:t>»</w:t>
      </w:r>
      <w:r w:rsidR="001424F6" w:rsidRPr="00B163FA">
        <w:rPr>
          <w:rFonts w:ascii="Tahoma" w:eastAsia="Times New Roman" w:hAnsi="Tahoma" w:cs="Tahoma"/>
          <w:lang w:eastAsia="ru-RU"/>
        </w:rPr>
        <w:t>_</w:t>
      </w:r>
      <w:proofErr w:type="gramEnd"/>
      <w:r w:rsidR="001424F6" w:rsidRPr="00B163FA">
        <w:rPr>
          <w:rFonts w:ascii="Tahoma" w:eastAsia="Times New Roman" w:hAnsi="Tahoma" w:cs="Tahoma"/>
          <w:lang w:eastAsia="ru-RU"/>
        </w:rPr>
        <w:t>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94"/>
        <w:gridCol w:w="778"/>
        <w:gridCol w:w="792"/>
        <w:gridCol w:w="1161"/>
        <w:gridCol w:w="1451"/>
        <w:gridCol w:w="686"/>
        <w:gridCol w:w="501"/>
        <w:gridCol w:w="792"/>
        <w:gridCol w:w="818"/>
        <w:gridCol w:w="818"/>
        <w:gridCol w:w="818"/>
      </w:tblGrid>
      <w:tr w:rsidR="00FE47ED" w:rsidTr="00FE47ED">
        <w:trPr>
          <w:trHeight w:val="97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</w:t>
            </w:r>
          </w:p>
          <w:p w:rsidR="00FE47ED" w:rsidRDefault="00FE47ED">
            <w:pPr>
              <w:suppressAutoHyphens/>
              <w:spacing w:line="256" w:lineRule="auto"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Тех.</w:t>
            </w:r>
          </w:p>
          <w:p w:rsidR="00FE47ED" w:rsidRDefault="00FE47ED" w:rsidP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хар-ки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FE47ED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FE47ED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FE47ED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proofErr w:type="gramStart"/>
      <w:r w:rsidR="00FE47ED">
        <w:rPr>
          <w:rFonts w:ascii="Tahoma" w:eastAsia="Times New Roman" w:hAnsi="Tahoma" w:cs="Tahoma"/>
          <w:lang w:eastAsia="ru-RU"/>
        </w:rPr>
        <w:t xml:space="preserve">исполнить 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FE47ED" w:rsidRPr="00FE47ED">
        <w:rPr>
          <w:rFonts w:ascii="Tahoma" w:hAnsi="Tahoma" w:cs="Tahoma"/>
          <w:b/>
        </w:rPr>
        <w:t>поставк</w:t>
      </w:r>
      <w:r w:rsidR="00FE47ED">
        <w:rPr>
          <w:rFonts w:ascii="Tahoma" w:hAnsi="Tahoma" w:cs="Tahoma"/>
          <w:b/>
        </w:rPr>
        <w:t>у</w:t>
      </w:r>
      <w:proofErr w:type="gramEnd"/>
      <w:r w:rsidR="00FE47ED" w:rsidRPr="00FE47ED">
        <w:rPr>
          <w:rFonts w:ascii="Tahoma" w:hAnsi="Tahoma" w:cs="Tahoma"/>
          <w:b/>
        </w:rPr>
        <w:t xml:space="preserve"> </w:t>
      </w:r>
      <w:r w:rsidR="006C2854">
        <w:rPr>
          <w:rFonts w:ascii="Tahoma" w:hAnsi="Tahoma" w:cs="Tahoma"/>
          <w:b/>
        </w:rPr>
        <w:t>картриджей</w:t>
      </w:r>
      <w:r w:rsidR="006C2854" w:rsidRPr="001F7148">
        <w:rPr>
          <w:rFonts w:ascii="Tahoma" w:hAnsi="Tahoma" w:cs="Tahoma"/>
          <w:b/>
        </w:rPr>
        <w:t xml:space="preserve"> для офисной техники</w:t>
      </w:r>
      <w:r w:rsidR="00FE47ED">
        <w:rPr>
          <w:rFonts w:ascii="Tahoma" w:hAnsi="Tahoma" w:cs="Tahoma"/>
          <w:b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="0069004C" w:rsidRPr="0069004C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4B71A1" w:rsidRPr="004B71A1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 xml:space="preserve"> 20</w:t>
      </w:r>
      <w:r w:rsidR="0069004C">
        <w:rPr>
          <w:rFonts w:ascii="Tahoma" w:eastAsia="Times New Roman" w:hAnsi="Tahoma" w:cs="Tahoma"/>
          <w:lang w:eastAsia="ru-RU"/>
        </w:rPr>
        <w:t>2</w:t>
      </w:r>
      <w:r w:rsidR="00243745">
        <w:rPr>
          <w:rFonts w:ascii="Tahoma" w:eastAsia="Times New Roman" w:hAnsi="Tahoma" w:cs="Tahoma"/>
          <w:lang w:eastAsia="ru-RU"/>
        </w:rPr>
        <w:t>_</w:t>
      </w:r>
      <w:r w:rsidR="0069004C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</w:t>
      </w:r>
      <w:r w:rsidRPr="0069004C">
        <w:rPr>
          <w:rFonts w:ascii="Tahoma" w:eastAsia="Times New Roman" w:hAnsi="Tahoma" w:cs="Tahoma"/>
          <w:lang w:eastAsia="ru-RU"/>
        </w:rPr>
        <w:t>«</w:t>
      </w:r>
      <w:r w:rsidRPr="0069004C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="0069004C">
        <w:rPr>
          <w:rFonts w:ascii="Tahoma" w:eastAsia="Times New Roman" w:hAnsi="Tahoma" w:cs="Tahoma"/>
          <w:u w:val="single"/>
          <w:lang w:eastAsia="ru-RU"/>
        </w:rPr>
        <w:t xml:space="preserve"> </w:t>
      </w:r>
      <w:r w:rsidR="004B71A1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69004C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="0069004C">
        <w:rPr>
          <w:rFonts w:ascii="Tahoma" w:eastAsia="Times New Roman" w:hAnsi="Tahoma" w:cs="Tahoma"/>
          <w:lang w:eastAsia="ru-RU"/>
        </w:rPr>
        <w:t>_________</w:t>
      </w:r>
      <w:r w:rsidRPr="00B163FA">
        <w:rPr>
          <w:rFonts w:ascii="Tahoma" w:eastAsia="Times New Roman" w:hAnsi="Tahoma" w:cs="Tahoma"/>
          <w:lang w:eastAsia="ru-RU"/>
        </w:rPr>
        <w:t>20</w:t>
      </w:r>
      <w:r w:rsidR="0069004C">
        <w:rPr>
          <w:rFonts w:ascii="Tahoma" w:eastAsia="Times New Roman" w:hAnsi="Tahoma" w:cs="Tahoma"/>
          <w:lang w:eastAsia="ru-RU"/>
        </w:rPr>
        <w:t>2__</w:t>
      </w:r>
      <w:r w:rsidR="004B71A1">
        <w:rPr>
          <w:rFonts w:ascii="Tahoma" w:eastAsia="Times New Roman" w:hAnsi="Tahoma" w:cs="Tahoma"/>
          <w:lang w:eastAsia="ru-RU"/>
        </w:rPr>
        <w:t>г</w:t>
      </w:r>
      <w:r w:rsidRPr="00B163FA">
        <w:rPr>
          <w:rFonts w:ascii="Tahoma" w:eastAsia="Times New Roman" w:hAnsi="Tahoma" w:cs="Tahoma"/>
          <w:lang w:eastAsia="ru-RU"/>
        </w:rPr>
        <w:t xml:space="preserve">. </w:t>
      </w:r>
    </w:p>
    <w:p w:rsidR="00840A00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3F7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Toc450918112"/>
          </w:p>
          <w:p w:rsidR="00AA73F7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AA73F7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8F7776" w:rsidRPr="008F7776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П</w:t>
            </w:r>
            <w:r w:rsidR="008F7776"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4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Default="00802E57" w:rsidP="009D5D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  <w:bookmarkStart w:id="5" w:name="_GoBack"/>
      <w:bookmarkEnd w:id="5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Sect="00AA73F7">
          <w:pgSz w:w="11906" w:h="16838"/>
          <w:pgMar w:top="567" w:right="1080" w:bottom="426" w:left="1080" w:header="708" w:footer="708" w:gutter="0"/>
          <w:cols w:space="708"/>
          <w:docGrid w:linePitch="360"/>
        </w:sectPr>
      </w:pPr>
    </w:p>
    <w:tbl>
      <w:tblPr>
        <w:tblW w:w="25175" w:type="dxa"/>
        <w:tblInd w:w="108" w:type="dxa"/>
        <w:tblLook w:val="04A0" w:firstRow="1" w:lastRow="0" w:firstColumn="1" w:lastColumn="0" w:noHBand="0" w:noVBand="1"/>
      </w:tblPr>
      <w:tblGrid>
        <w:gridCol w:w="519"/>
        <w:gridCol w:w="3026"/>
        <w:gridCol w:w="53"/>
        <w:gridCol w:w="399"/>
        <w:gridCol w:w="1012"/>
        <w:gridCol w:w="796"/>
        <w:gridCol w:w="6"/>
        <w:gridCol w:w="790"/>
        <w:gridCol w:w="300"/>
        <w:gridCol w:w="6"/>
        <w:gridCol w:w="1315"/>
        <w:gridCol w:w="369"/>
        <w:gridCol w:w="1461"/>
        <w:gridCol w:w="90"/>
        <w:gridCol w:w="9"/>
        <w:gridCol w:w="951"/>
        <w:gridCol w:w="11"/>
        <w:gridCol w:w="352"/>
        <w:gridCol w:w="1843"/>
        <w:gridCol w:w="1151"/>
        <w:gridCol w:w="1575"/>
        <w:gridCol w:w="1557"/>
        <w:gridCol w:w="2266"/>
        <w:gridCol w:w="901"/>
        <w:gridCol w:w="236"/>
        <w:gridCol w:w="1080"/>
        <w:gridCol w:w="1200"/>
        <w:gridCol w:w="236"/>
        <w:gridCol w:w="1665"/>
      </w:tblGrid>
      <w:tr w:rsidR="00121341" w:rsidRPr="0000299E" w:rsidTr="00D904D4">
        <w:trPr>
          <w:trHeight w:val="255"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4D4" w:rsidRPr="00D904D4" w:rsidTr="00D904D4">
        <w:trPr>
          <w:gridAfter w:val="9"/>
          <w:wAfter w:w="10716" w:type="dxa"/>
          <w:trHeight w:val="30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                                             </w:t>
            </w:r>
            <w:r w:rsidRPr="00D904D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D904D4" w:rsidRPr="00D904D4" w:rsidTr="00D904D4">
        <w:trPr>
          <w:gridAfter w:val="9"/>
          <w:wAfter w:w="10716" w:type="dxa"/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4D4" w:rsidRPr="00D904D4" w:rsidTr="00D904D4">
        <w:trPr>
          <w:gridAfter w:val="9"/>
          <w:wAfter w:w="10716" w:type="dxa"/>
          <w:trHeight w:val="315"/>
        </w:trPr>
        <w:tc>
          <w:tcPr>
            <w:tcW w:w="1445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Право заключения договора поставки картриджей для офисной техники</w:t>
            </w:r>
          </w:p>
        </w:tc>
      </w:tr>
      <w:tr w:rsidR="00D904D4" w:rsidRPr="00D904D4" w:rsidTr="00D904D4">
        <w:trPr>
          <w:gridAfter w:val="9"/>
          <w:wAfter w:w="10716" w:type="dxa"/>
          <w:trHeight w:val="1305"/>
        </w:trPr>
        <w:tc>
          <w:tcPr>
            <w:tcW w:w="50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1. Используемый метод определения НМЦД</w:t>
            </w:r>
          </w:p>
        </w:tc>
        <w:tc>
          <w:tcPr>
            <w:tcW w:w="945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«Арктик-энерго».</w:t>
            </w:r>
          </w:p>
        </w:tc>
      </w:tr>
      <w:tr w:rsidR="00D904D4" w:rsidRPr="00D904D4" w:rsidTr="00D904D4">
        <w:trPr>
          <w:gridAfter w:val="9"/>
          <w:wAfter w:w="10716" w:type="dxa"/>
          <w:trHeight w:val="735"/>
        </w:trPr>
        <w:tc>
          <w:tcPr>
            <w:tcW w:w="50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2. Способ изучения рынка</w:t>
            </w:r>
          </w:p>
        </w:tc>
        <w:tc>
          <w:tcPr>
            <w:tcW w:w="945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D904D4" w:rsidRPr="00D904D4" w:rsidTr="00D904D4">
        <w:trPr>
          <w:gridAfter w:val="9"/>
          <w:wAfter w:w="10716" w:type="dxa"/>
          <w:trHeight w:val="540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закупаемых</w:t>
            </w:r>
          </w:p>
        </w:tc>
        <w:tc>
          <w:tcPr>
            <w:tcW w:w="14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товара, шт.</w:t>
            </w:r>
          </w:p>
        </w:tc>
        <w:tc>
          <w:tcPr>
            <w:tcW w:w="32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Источники информации о ценах товаров, работ, услуг (руб./</w:t>
            </w:r>
            <w:proofErr w:type="spellStart"/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Средняя цена товара, руб.</w:t>
            </w:r>
          </w:p>
        </w:tc>
        <w:tc>
          <w:tcPr>
            <w:tcW w:w="335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Средняя арифметическая величина, рублей (без учета НДС).</w:t>
            </w:r>
          </w:p>
        </w:tc>
      </w:tr>
      <w:tr w:rsidR="00D904D4" w:rsidRPr="00D904D4" w:rsidTr="00D904D4">
        <w:trPr>
          <w:gridAfter w:val="9"/>
          <w:wAfter w:w="10716" w:type="dxa"/>
          <w:trHeight w:val="1530"/>
        </w:trPr>
        <w:tc>
          <w:tcPr>
            <w:tcW w:w="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1464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НМЦД 1                                                                  (коммерческое предложение от 16.06.2022, №42/22)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НМЦД 2                                                                 (коммерческое предложение от  17.06.2022, б/н)</w:t>
            </w:r>
          </w:p>
        </w:tc>
        <w:tc>
          <w:tcPr>
            <w:tcW w:w="2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D904D4" w:rsidRPr="00D904D4" w:rsidTr="00D904D4">
        <w:trPr>
          <w:gridAfter w:val="9"/>
          <w:wAfter w:w="10716" w:type="dxa"/>
          <w:trHeight w:val="31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80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904D4" w:rsidRPr="00D904D4" w:rsidTr="00D904D4">
        <w:trPr>
          <w:gridAfter w:val="9"/>
          <w:wAfter w:w="10716" w:type="dxa"/>
          <w:trHeight w:val="31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Поставка картриджей для офисной техники</w:t>
            </w:r>
          </w:p>
        </w:tc>
        <w:tc>
          <w:tcPr>
            <w:tcW w:w="14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337 500,00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207 800,00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272 650,00 </w:t>
            </w:r>
          </w:p>
        </w:tc>
        <w:tc>
          <w:tcPr>
            <w:tcW w:w="33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272 650,00 </w:t>
            </w:r>
          </w:p>
        </w:tc>
      </w:tr>
      <w:tr w:rsidR="00D904D4" w:rsidRPr="00D904D4" w:rsidTr="00D904D4">
        <w:trPr>
          <w:gridAfter w:val="9"/>
          <w:wAfter w:w="10716" w:type="dxa"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ИТОГО СТОИМОСТЬ ДОГОВОРА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4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272 650,00 </w:t>
            </w:r>
          </w:p>
        </w:tc>
      </w:tr>
      <w:tr w:rsidR="00D904D4" w:rsidRPr="00D904D4" w:rsidTr="00D904D4">
        <w:trPr>
          <w:gridAfter w:val="9"/>
          <w:wAfter w:w="10716" w:type="dxa"/>
          <w:trHeight w:val="30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4D4" w:rsidRPr="00D904D4" w:rsidTr="00D904D4">
        <w:trPr>
          <w:gridAfter w:val="9"/>
          <w:wAfter w:w="10716" w:type="dxa"/>
          <w:trHeight w:val="1275"/>
        </w:trPr>
        <w:tc>
          <w:tcPr>
            <w:tcW w:w="144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4D4" w:rsidRPr="00D904D4" w:rsidRDefault="00D904D4" w:rsidP="00D90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04D4">
              <w:rPr>
                <w:rFonts w:ascii="Calibri" w:eastAsia="Times New Roman" w:hAnsi="Calibri" w:cs="Calibri"/>
                <w:color w:val="000000"/>
                <w:lang w:eastAsia="ru-RU"/>
              </w:rPr>
      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      </w: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4F5" w:rsidRDefault="00C674F5" w:rsidP="00F51CD4">
      <w:pPr>
        <w:spacing w:after="0" w:line="240" w:lineRule="auto"/>
      </w:pPr>
      <w:r>
        <w:separator/>
      </w:r>
    </w:p>
  </w:endnote>
  <w:endnote w:type="continuationSeparator" w:id="0">
    <w:p w:rsidR="00C674F5" w:rsidRDefault="00C674F5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4F5" w:rsidRDefault="00C674F5" w:rsidP="00F51CD4">
      <w:pPr>
        <w:spacing w:after="0" w:line="240" w:lineRule="auto"/>
      </w:pPr>
      <w:r>
        <w:separator/>
      </w:r>
    </w:p>
  </w:footnote>
  <w:footnote w:type="continuationSeparator" w:id="0">
    <w:p w:rsidR="00C674F5" w:rsidRDefault="00C674F5" w:rsidP="00F51CD4">
      <w:pPr>
        <w:spacing w:after="0" w:line="240" w:lineRule="auto"/>
      </w:pPr>
      <w:r>
        <w:continuationSeparator/>
      </w:r>
    </w:p>
  </w:footnote>
  <w:footnote w:id="1">
    <w:p w:rsidR="00C674F5" w:rsidRDefault="00C674F5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</w:r>
      <w:proofErr w:type="spellStart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т.ч</w:t>
      </w:r>
      <w:proofErr w:type="spellEnd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C674F5" w:rsidRPr="00840A00" w:rsidRDefault="00C674F5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99E"/>
    <w:rsid w:val="000032A6"/>
    <w:rsid w:val="00003C3F"/>
    <w:rsid w:val="00005A9C"/>
    <w:rsid w:val="000070E4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516F"/>
    <w:rsid w:val="00160B31"/>
    <w:rsid w:val="00172FEB"/>
    <w:rsid w:val="00173321"/>
    <w:rsid w:val="001857A1"/>
    <w:rsid w:val="00190E16"/>
    <w:rsid w:val="001A2196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3A56"/>
    <w:rsid w:val="002C5A85"/>
    <w:rsid w:val="002C739A"/>
    <w:rsid w:val="002E4BE3"/>
    <w:rsid w:val="002E6581"/>
    <w:rsid w:val="002E7453"/>
    <w:rsid w:val="003114B4"/>
    <w:rsid w:val="003156CF"/>
    <w:rsid w:val="00316D33"/>
    <w:rsid w:val="0032126D"/>
    <w:rsid w:val="00321A24"/>
    <w:rsid w:val="00327834"/>
    <w:rsid w:val="00327DB6"/>
    <w:rsid w:val="00335DE9"/>
    <w:rsid w:val="00345517"/>
    <w:rsid w:val="00353FFE"/>
    <w:rsid w:val="00361B7F"/>
    <w:rsid w:val="00371A21"/>
    <w:rsid w:val="00376737"/>
    <w:rsid w:val="00377D8F"/>
    <w:rsid w:val="00391482"/>
    <w:rsid w:val="00396499"/>
    <w:rsid w:val="003A1403"/>
    <w:rsid w:val="003A663B"/>
    <w:rsid w:val="003B4EE7"/>
    <w:rsid w:val="003B670A"/>
    <w:rsid w:val="003C14E4"/>
    <w:rsid w:val="003D0BE9"/>
    <w:rsid w:val="00400257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1A1"/>
    <w:rsid w:val="004B77C9"/>
    <w:rsid w:val="004C20F0"/>
    <w:rsid w:val="004D2C63"/>
    <w:rsid w:val="004D787E"/>
    <w:rsid w:val="004E0EDE"/>
    <w:rsid w:val="00503C3C"/>
    <w:rsid w:val="00507386"/>
    <w:rsid w:val="005108F8"/>
    <w:rsid w:val="00517147"/>
    <w:rsid w:val="00530F31"/>
    <w:rsid w:val="00536D34"/>
    <w:rsid w:val="00537E98"/>
    <w:rsid w:val="0054640F"/>
    <w:rsid w:val="00550F7D"/>
    <w:rsid w:val="00553A6A"/>
    <w:rsid w:val="00555A3E"/>
    <w:rsid w:val="00574A89"/>
    <w:rsid w:val="00577DD9"/>
    <w:rsid w:val="00591AD8"/>
    <w:rsid w:val="00595754"/>
    <w:rsid w:val="005959BF"/>
    <w:rsid w:val="005C7FA3"/>
    <w:rsid w:val="005D0DB0"/>
    <w:rsid w:val="005D2AC9"/>
    <w:rsid w:val="005D4491"/>
    <w:rsid w:val="005E16CE"/>
    <w:rsid w:val="005E1CC1"/>
    <w:rsid w:val="005E3DC1"/>
    <w:rsid w:val="005F6941"/>
    <w:rsid w:val="00604D74"/>
    <w:rsid w:val="00606F87"/>
    <w:rsid w:val="00615B32"/>
    <w:rsid w:val="00634B7B"/>
    <w:rsid w:val="00641591"/>
    <w:rsid w:val="006537F0"/>
    <w:rsid w:val="0065543F"/>
    <w:rsid w:val="00675602"/>
    <w:rsid w:val="0069004C"/>
    <w:rsid w:val="00691FBA"/>
    <w:rsid w:val="00697950"/>
    <w:rsid w:val="006A09D7"/>
    <w:rsid w:val="006B3D95"/>
    <w:rsid w:val="006B4E3A"/>
    <w:rsid w:val="006B7517"/>
    <w:rsid w:val="006C2854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5472F"/>
    <w:rsid w:val="007615EA"/>
    <w:rsid w:val="0078593B"/>
    <w:rsid w:val="00790AF6"/>
    <w:rsid w:val="00794615"/>
    <w:rsid w:val="00796389"/>
    <w:rsid w:val="007A3C1C"/>
    <w:rsid w:val="007A6891"/>
    <w:rsid w:val="007B3CC7"/>
    <w:rsid w:val="007B5B3E"/>
    <w:rsid w:val="007C0DCF"/>
    <w:rsid w:val="007E2899"/>
    <w:rsid w:val="007E71DA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474D"/>
    <w:rsid w:val="008A4CC7"/>
    <w:rsid w:val="008E497A"/>
    <w:rsid w:val="008F7776"/>
    <w:rsid w:val="009022D5"/>
    <w:rsid w:val="00907921"/>
    <w:rsid w:val="00914CA4"/>
    <w:rsid w:val="00916D15"/>
    <w:rsid w:val="0092138A"/>
    <w:rsid w:val="00944F23"/>
    <w:rsid w:val="00947A50"/>
    <w:rsid w:val="00950B24"/>
    <w:rsid w:val="00951AD1"/>
    <w:rsid w:val="009616AB"/>
    <w:rsid w:val="00967681"/>
    <w:rsid w:val="009706CE"/>
    <w:rsid w:val="009725BE"/>
    <w:rsid w:val="0097567D"/>
    <w:rsid w:val="00982B2C"/>
    <w:rsid w:val="0099669D"/>
    <w:rsid w:val="009A0413"/>
    <w:rsid w:val="009C5E37"/>
    <w:rsid w:val="009D0025"/>
    <w:rsid w:val="009D5D94"/>
    <w:rsid w:val="009E67BF"/>
    <w:rsid w:val="009E71FD"/>
    <w:rsid w:val="009F0150"/>
    <w:rsid w:val="009F17EB"/>
    <w:rsid w:val="009F1853"/>
    <w:rsid w:val="009F6360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A73F7"/>
    <w:rsid w:val="00AB7FFE"/>
    <w:rsid w:val="00AD1092"/>
    <w:rsid w:val="00AD3464"/>
    <w:rsid w:val="00AD75D3"/>
    <w:rsid w:val="00AF559E"/>
    <w:rsid w:val="00B033C7"/>
    <w:rsid w:val="00B1673B"/>
    <w:rsid w:val="00B176FB"/>
    <w:rsid w:val="00B2389C"/>
    <w:rsid w:val="00B2716D"/>
    <w:rsid w:val="00B3322C"/>
    <w:rsid w:val="00B36EA1"/>
    <w:rsid w:val="00B37D8B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467A"/>
    <w:rsid w:val="00BB31AE"/>
    <w:rsid w:val="00BB536D"/>
    <w:rsid w:val="00BC002B"/>
    <w:rsid w:val="00BD3A3F"/>
    <w:rsid w:val="00C1661E"/>
    <w:rsid w:val="00C17858"/>
    <w:rsid w:val="00C23E25"/>
    <w:rsid w:val="00C2448F"/>
    <w:rsid w:val="00C366F0"/>
    <w:rsid w:val="00C47BE1"/>
    <w:rsid w:val="00C5310E"/>
    <w:rsid w:val="00C60BBF"/>
    <w:rsid w:val="00C622EF"/>
    <w:rsid w:val="00C660E5"/>
    <w:rsid w:val="00C674F5"/>
    <w:rsid w:val="00C9076F"/>
    <w:rsid w:val="00CA4A3D"/>
    <w:rsid w:val="00CC2003"/>
    <w:rsid w:val="00CC7E69"/>
    <w:rsid w:val="00CF04E4"/>
    <w:rsid w:val="00CF2387"/>
    <w:rsid w:val="00CF239A"/>
    <w:rsid w:val="00D04403"/>
    <w:rsid w:val="00D16012"/>
    <w:rsid w:val="00D205AA"/>
    <w:rsid w:val="00D32B27"/>
    <w:rsid w:val="00D36ADA"/>
    <w:rsid w:val="00D455C9"/>
    <w:rsid w:val="00D54F97"/>
    <w:rsid w:val="00D62F5A"/>
    <w:rsid w:val="00D632D0"/>
    <w:rsid w:val="00D63B80"/>
    <w:rsid w:val="00D75D99"/>
    <w:rsid w:val="00D904D4"/>
    <w:rsid w:val="00D931C6"/>
    <w:rsid w:val="00DA2FCC"/>
    <w:rsid w:val="00DB510E"/>
    <w:rsid w:val="00DC39EE"/>
    <w:rsid w:val="00DC640A"/>
    <w:rsid w:val="00DC65B4"/>
    <w:rsid w:val="00DD0E3B"/>
    <w:rsid w:val="00DF3597"/>
    <w:rsid w:val="00E00947"/>
    <w:rsid w:val="00E01714"/>
    <w:rsid w:val="00E17AB3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1E82"/>
    <w:rsid w:val="00E93B96"/>
    <w:rsid w:val="00E97188"/>
    <w:rsid w:val="00ED78AB"/>
    <w:rsid w:val="00F009E2"/>
    <w:rsid w:val="00F32159"/>
    <w:rsid w:val="00F353BA"/>
    <w:rsid w:val="00F51CD4"/>
    <w:rsid w:val="00F60FD1"/>
    <w:rsid w:val="00F62222"/>
    <w:rsid w:val="00F64EBF"/>
    <w:rsid w:val="00F675EC"/>
    <w:rsid w:val="00F67BA1"/>
    <w:rsid w:val="00F709FB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E47ED"/>
    <w:rsid w:val="00FE7728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7DE7F-AE88-4576-B996-8EB7B7AB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ncharav@kolag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1998-F747-4E89-98F8-C211C181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25</Pages>
  <Words>6624</Words>
  <Characters>37763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12</cp:revision>
  <cp:lastPrinted>2022-06-23T12:05:00Z</cp:lastPrinted>
  <dcterms:created xsi:type="dcterms:W3CDTF">2022-01-19T06:45:00Z</dcterms:created>
  <dcterms:modified xsi:type="dcterms:W3CDTF">2022-06-23T12:05:00Z</dcterms:modified>
</cp:coreProperties>
</file>